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DICHIARAZIONE RELATIVA AL POSSESSO DEI REQUISITI PER L’AFFIDAMENTO DEI CONTRATTI PUBBLICI EX ARTT. 94, 95, 96, 97, 98 e 100 del CODICE DEI CONTRATTI</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sottoscritto ____________, nato a __________ il _____________, C.F. ___________, in qualità di rappresentante legale della _____________ con sede legale in _________ via ____________ partita IVA e codice fiscale ________________ tel. ____________ e-mail: </w:t>
      </w:r>
      <w:hyperlink r:id="rId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_________________</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PEC: _______________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TENUTO CONTO che, ai sensi dell’art. 52 del d.lgs. 36/2023:</w:t>
      </w:r>
    </w:p>
    <w:p w:rsidR="00000000" w:rsidDel="00000000" w:rsidP="00000000" w:rsidRDefault="00000000" w:rsidRPr="00000000" w14:paraId="0000000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9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nelle procedure di affidamento di cui all’</w:t>
      </w:r>
      <w:hyperlink r:id="rId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articolo 50, comma 1, lettere a) e b)</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 importo inferiore a 40.000 euro, gli operatori economici attestano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rsidR="00000000" w:rsidDel="00000000" w:rsidP="00000000" w:rsidRDefault="00000000" w:rsidRPr="00000000" w14:paraId="0000000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9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Ai sensi degli artt. 46, 47, 75 e 76 del d.P.R. 28.12.2000, N. 445 e ss.mm.ii., consapevole della responsabilità e delle conseguenze civili, amministrative e penali previste in caso di rilascio di dichiarazioni mendaci e/o formazione di atti falsi e/o uso degli stessi,</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10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10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DICHIARA</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10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gjdgxs" w:id="0"/>
    <w:bookmarkEnd w:id="0"/>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iscritto alla CCIAA di Napoli con i seguenti dati:</w:t>
      </w:r>
    </w:p>
    <w:bookmarkStart w:colFirst="0" w:colLast="0" w:name="bookmark=id.30j0zll" w:id="1"/>
    <w:bookmarkEnd w:id="1"/>
    <w:bookmarkStart w:colFirst="0" w:colLast="0" w:name="bookmark=id.1fob9te" w:id="2"/>
    <w:bookmarkEnd w:id="2"/>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Numero Rea: </w:t>
      </w:r>
    </w:p>
    <w:bookmarkStart w:colFirst="0" w:colLast="0" w:name="bookmark=id.3znysh7" w:id="3"/>
    <w:bookmarkEnd w:id="3"/>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17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Codice fiscale: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17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 iscr. al Registro Imprese: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17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Partita Iva: </w:t>
      </w:r>
      <w:bookmarkStart w:colFirst="0" w:colLast="0" w:name="bookmark=id.2et92p0" w:id="4"/>
      <w:bookmarkEnd w:id="4"/>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17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Forma giuridica: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62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costituzione: </w:t>
      </w:r>
      <w:bookmarkStart w:colFirst="0" w:colLast="0" w:name="bookmark=id.tyjcwt" w:id="5"/>
      <w:bookmarkEnd w:id="5"/>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62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iscrizione: </w:t>
      </w:r>
    </w:p>
    <w:bookmarkStart w:colFirst="0" w:colLast="0" w:name="bookmark=id.3dy6vkm" w:id="6"/>
    <w:bookmarkEnd w:id="6"/>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pgSz w:h="16840" w:w="11910" w:orient="portrait"/>
          <w:pgMar w:bottom="1980" w:top="2060" w:left="1020" w:right="740" w:header="681" w:footer="1794"/>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Amministratore: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Civile, sono i seguenti soggetti:</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921.0" w:type="dxa"/>
        <w:jc w:val="left"/>
        <w:tblInd w:w="12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30"/>
        <w:gridCol w:w="3687"/>
        <w:gridCol w:w="3404"/>
        <w:tblGridChange w:id="0">
          <w:tblGrid>
            <w:gridCol w:w="2830"/>
            <w:gridCol w:w="3687"/>
            <w:gridCol w:w="3404"/>
          </w:tblGrid>
        </w:tblGridChange>
      </w:tblGrid>
      <w:tr>
        <w:trPr>
          <w:cantSplit w:val="0"/>
          <w:trHeight w:val="570" w:hRule="atLeast"/>
          <w:tblHeader w:val="0"/>
        </w:trPr>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Cognome e nome</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Codice fiscale</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0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Carica ricoperta</w:t>
            </w:r>
          </w:p>
        </w:tc>
      </w:tr>
      <w:tr>
        <w:trPr>
          <w:cantSplit w:val="0"/>
          <w:trHeight w:val="42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3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 w:right="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pStyle w:val="Heading1"/>
        <w:ind w:left="33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pStyle w:val="Heading1"/>
        <w:ind w:left="3374"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INOLTRE DICHIARA DI</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832" w:right="39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Essere una micro, piccola o media impresa, come definita dall’articolo 2 dell’allegato alla Raccomandazione della Commissione europea 2003/361/CE del 6 maggio 2003 (G.U.U.E. n. L 124 del 20 maggio 2003) e all’articolo 2 del D.M. 18 aprile 2005, pubblicato nella G.U. n. 238 del 12 ottobre 2005 [Sono considerate micro, piccole o medie quelle che rispondo alle seguenti due condizioni: effettivi (unità lavorative/anno) inferiori a 250 e fatturato annuo inferiore a 50 milioni di euro o totale di bilancio inferiore a 43 milioni di euro].</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spacing w:before="102" w:line="276" w:lineRule="auto"/>
        <w:ind w:left="601" w:right="459" w:firstLine="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u w:val="single"/>
          <w:rtl w:val="0"/>
        </w:rPr>
        <w:t xml:space="preserve">PARTE I</w:t>
      </w:r>
      <w:r w:rsidDel="00000000" w:rsidR="00000000" w:rsidRPr="00000000">
        <w:rPr>
          <w:rtl w:val="0"/>
        </w:rPr>
      </w:r>
    </w:p>
    <w:p w:rsidR="00000000" w:rsidDel="00000000" w:rsidP="00000000" w:rsidRDefault="00000000" w:rsidRPr="00000000" w14:paraId="00000049">
      <w:pPr>
        <w:spacing w:line="276" w:lineRule="auto"/>
        <w:ind w:left="602" w:right="459" w:firstLine="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Requisiti di ordine generale e cause di esclusione automatica</w:t>
      </w:r>
    </w:p>
    <w:p w:rsidR="00000000" w:rsidDel="00000000" w:rsidP="00000000" w:rsidRDefault="00000000" w:rsidRPr="00000000" w14:paraId="0000004A">
      <w:pPr>
        <w:spacing w:before="1" w:line="276" w:lineRule="auto"/>
        <w:ind w:left="601" w:right="459"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(articolo 94 d.lgs. 36/2023)</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ordine ai requisiti di cui all'art. 94 del d.lgs. 36/2023,</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61" w:right="462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DICHIARA</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61" w:right="462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rsidR="00000000" w:rsidDel="00000000" w:rsidP="00000000" w:rsidRDefault="00000000" w:rsidRPr="00000000" w14:paraId="0000005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9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1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articolo 84, comma 4, del medesimo codice di cui al decreto legislativo 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 del 201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non opera se, entro la data dell’aggiudicazione, l’impresa sia stata ammessa al controllo giudiziario ai sensi dell’</w:t>
      </w:r>
      <w:hyperlink r:id="rId1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articolo 34-bis del</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medesimo codice</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9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versare in alcuna delle cause di esclusione di cui al comma 5 dell’articolo 94 del d.lgs. 36/2023, laddove applicabili, cui si rinvia e che si intende qui per ripetuto e trascritto;</w:t>
      </w:r>
    </w:p>
    <w:p w:rsidR="00000000" w:rsidDel="00000000" w:rsidP="00000000" w:rsidRDefault="00000000" w:rsidRPr="00000000" w14:paraId="0000005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8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rsidR="00000000" w:rsidDel="00000000" w:rsidP="00000000" w:rsidRDefault="00000000" w:rsidRPr="00000000" w14:paraId="00000055">
      <w:pPr>
        <w:spacing w:before="102" w:line="512" w:lineRule="auto"/>
        <w:ind w:left="601" w:right="459" w:firstLine="0"/>
        <w:jc w:val="center"/>
        <w:rPr>
          <w:rFonts w:ascii="Times New Roman" w:cs="Times New Roman" w:eastAsia="Times New Roman" w:hAnsi="Times New Roman"/>
          <w:b w:val="1"/>
          <w:sz w:val="32"/>
          <w:szCs w:val="32"/>
          <w:u w:val="single"/>
        </w:rPr>
      </w:pPr>
      <w:r w:rsidDel="00000000" w:rsidR="00000000" w:rsidRPr="00000000">
        <w:rPr>
          <w:rtl w:val="0"/>
        </w:rPr>
      </w:r>
    </w:p>
    <w:p w:rsidR="00000000" w:rsidDel="00000000" w:rsidP="00000000" w:rsidRDefault="00000000" w:rsidRPr="00000000" w14:paraId="00000056">
      <w:pPr>
        <w:spacing w:before="102" w:line="512" w:lineRule="auto"/>
        <w:ind w:left="601" w:right="459" w:firstLine="0"/>
        <w:jc w:val="center"/>
        <w:rPr>
          <w:rFonts w:ascii="Times New Roman" w:cs="Times New Roman" w:eastAsia="Times New Roman" w:hAnsi="Times New Roman"/>
          <w:b w:val="1"/>
          <w:sz w:val="32"/>
          <w:szCs w:val="32"/>
          <w:u w:val="single"/>
        </w:rPr>
      </w:pPr>
      <w:r w:rsidDel="00000000" w:rsidR="00000000" w:rsidRPr="00000000">
        <w:rPr>
          <w:rtl w:val="0"/>
        </w:rPr>
      </w:r>
    </w:p>
    <w:p w:rsidR="00000000" w:rsidDel="00000000" w:rsidP="00000000" w:rsidRDefault="00000000" w:rsidRPr="00000000" w14:paraId="00000057">
      <w:pPr>
        <w:spacing w:before="102" w:line="512" w:lineRule="auto"/>
        <w:ind w:left="0" w:right="459" w:firstLine="0"/>
        <w:jc w:val="left"/>
        <w:rPr>
          <w:rFonts w:ascii="Times New Roman" w:cs="Times New Roman" w:eastAsia="Times New Roman" w:hAnsi="Times New Roman"/>
          <w:b w:val="1"/>
          <w:sz w:val="32"/>
          <w:szCs w:val="32"/>
          <w:u w:val="single"/>
        </w:rPr>
      </w:pPr>
      <w:r w:rsidDel="00000000" w:rsidR="00000000" w:rsidRPr="00000000">
        <w:rPr>
          <w:rtl w:val="0"/>
        </w:rPr>
      </w:r>
    </w:p>
    <w:p w:rsidR="00000000" w:rsidDel="00000000" w:rsidP="00000000" w:rsidRDefault="00000000" w:rsidRPr="00000000" w14:paraId="00000058">
      <w:pPr>
        <w:spacing w:before="102" w:line="276" w:lineRule="auto"/>
        <w:ind w:left="601" w:right="459" w:firstLine="0"/>
        <w:jc w:val="center"/>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PARTE II</w:t>
      </w:r>
    </w:p>
    <w:p w:rsidR="00000000" w:rsidDel="00000000" w:rsidP="00000000" w:rsidRDefault="00000000" w:rsidRPr="00000000" w14:paraId="00000059">
      <w:pPr>
        <w:spacing w:before="102" w:line="276" w:lineRule="auto"/>
        <w:ind w:left="601" w:right="459" w:firstLine="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Cause di esclusione NON Automatica</w:t>
      </w:r>
    </w:p>
    <w:p w:rsidR="00000000" w:rsidDel="00000000" w:rsidP="00000000" w:rsidRDefault="00000000" w:rsidRPr="00000000" w14:paraId="0000005A">
      <w:pPr>
        <w:spacing w:before="1" w:line="276" w:lineRule="auto"/>
        <w:ind w:left="601" w:right="459"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(articolo 95 d.lgs. 36/2023)</w:t>
      </w:r>
    </w:p>
    <w:p w:rsidR="00000000" w:rsidDel="00000000" w:rsidP="00000000" w:rsidRDefault="00000000" w:rsidRPr="00000000" w14:paraId="0000005B">
      <w:pPr>
        <w:tabs>
          <w:tab w:val="left" w:leader="none" w:pos="833"/>
        </w:tabs>
        <w:ind w:right="38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ordine ai requisiti di cui all'art. 95 del d.lgs. 36/2023,</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2" w:right="44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DICHIARA</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2" w:right="448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9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rsidR="00000000" w:rsidDel="00000000" w:rsidP="00000000" w:rsidRDefault="00000000" w:rsidRPr="00000000" w14:paraId="0000006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33"/>
        </w:tabs>
        <w:spacing w:after="0" w:before="0" w:line="240" w:lineRule="auto"/>
        <w:ind w:left="832" w:right="38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1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Allegato II.10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before="102" w:line="276" w:lineRule="auto"/>
        <w:ind w:left="601" w:right="459" w:firstLine="0"/>
        <w:jc w:val="center"/>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PARTE III</w:t>
      </w:r>
    </w:p>
    <w:p w:rsidR="00000000" w:rsidDel="00000000" w:rsidP="00000000" w:rsidRDefault="00000000" w:rsidRPr="00000000" w14:paraId="00000065">
      <w:pPr>
        <w:spacing w:before="37" w:lineRule="auto"/>
        <w:ind w:left="363" w:right="459" w:firstLine="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Requisiti di ordine speciale</w:t>
      </w:r>
    </w:p>
    <w:p w:rsidR="00000000" w:rsidDel="00000000" w:rsidP="00000000" w:rsidRDefault="00000000" w:rsidRPr="00000000" w14:paraId="00000066">
      <w:pPr>
        <w:spacing w:before="150" w:lineRule="auto"/>
        <w:ind w:left="462" w:right="459"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(art. 100 d.lgs. 36/2023)</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ordine ai requisiti di cui all'art. 100 del d.lgs. 36/2023,</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2" w:right="44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DICHIARA</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2" w:right="44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particolare, dichiara:</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04"/>
        </w:tabs>
        <w:spacing w:after="0" w:before="0" w:line="240" w:lineRule="auto"/>
        <w:ind w:left="112" w:right="3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quanto al requisito di capacità economica e finanziaria: che l’operatore economico che rappresenta possiede un fatturato globale nell’ultimo triennio almeno pari al valore stimato dell’appalto;</w:t>
      </w:r>
    </w:p>
    <w:p w:rsidR="00000000" w:rsidDel="00000000" w:rsidP="00000000" w:rsidRDefault="00000000" w:rsidRPr="00000000" w14:paraId="0000007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82"/>
        </w:tabs>
        <w:spacing w:after="0" w:before="0" w:line="240" w:lineRule="auto"/>
        <w:ind w:left="112" w:right="3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980" w:top="2060" w:left="1020" w:right="740" w:header="681" w:footer="1794"/>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quanto al requisito di capacità tecnica e professionale: che l’operatore economico che rappresenta ha eseguito nell’ultimo triennio contratti in favore di soggetti pubblici, per un importo totale almeno pari al valore stimato dell’appalto.</w:t>
      </w:r>
    </w:p>
    <w:p w:rsidR="00000000" w:rsidDel="00000000" w:rsidP="00000000" w:rsidRDefault="00000000" w:rsidRPr="00000000" w14:paraId="00000073">
      <w:pPr>
        <w:spacing w:before="102" w:line="276" w:lineRule="auto"/>
        <w:ind w:left="601" w:right="459" w:firstLine="0"/>
        <w:jc w:val="center"/>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PARTE IV</w:t>
      </w:r>
    </w:p>
    <w:p w:rsidR="00000000" w:rsidDel="00000000" w:rsidP="00000000" w:rsidRDefault="00000000" w:rsidRPr="00000000" w14:paraId="00000074">
      <w:pPr>
        <w:spacing w:before="37" w:lineRule="auto"/>
        <w:ind w:left="363" w:right="459" w:firstLine="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DICHIARAZIONI FINALI</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39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DICHIARA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39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39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INFINE</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1" w:right="439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ACCETTARE, senza condizione o riserva alcuna, tutte le prescrizioni contenute nella documentazione relativa all’affidamento in oggetto;</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ad eseguire la fornitura secondo le modalità ed i tempi stabiliti dalla stazione appaltante;</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EDOTTO degli obblighi derivanti dal Codice di comportamento integrativo dell’Ente e di impegnarsi, in caso di aggiudicazione, a osservare e a far osservare ai propri dipendenti e collaboratori, per quanto applicabile, il suddetto codice, pena la risoluzione del contratto;</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APPLICARE ai propri dipendenti il seguente Contratto Nazionale (CCNL): ____________________;</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REGOLA con gli obblighi relativi al pagamento dei contributi previdenziali ed assistenziali a favore dei propri lavoratori e che l’impresa mantiene le seguenti posizioni previdenziali e assicurative:</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2782" w:firstLine="1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Codice ditta INAIL N°_________________</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2782" w:firstLine="1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sede di competenza ____________________</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5676" w:firstLine="1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codice Sede INAIL competente __________</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5676" w:firstLine="1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Matricola INPS _______________________</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112"/>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980" w:top="2060" w:left="1020" w:right="740" w:header="681" w:footer="1794"/>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Nome e codice Sede INPS competente ____________</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11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 di dipendenti in servizio: ________________</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REGOLA con le norme previste dalla legge 12 marzo 1999 n. 68 in materia di diritto al lavoro dei disabili.</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DICHIARA inoltre</w:t>
      </w:r>
    </w:p>
    <w:p w:rsidR="00000000" w:rsidDel="00000000" w:rsidP="00000000" w:rsidRDefault="00000000" w:rsidRPr="00000000" w14:paraId="0000008D">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IN ORDINE AL POSSESSO DEI REQUISITI DI ORDINE GENERALE DI CUI ALL’ART. 80 DEL D.Lgs. N. 50/2016 e ss.mm.ii.</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119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che nei propri confronti non è stata pronunciata condanna con sentenza definitiva o decreto penale di condanna divenuto irrevocabile o sentenza di applicazione della pena su richiesta ai sensi dell'articolo 444 del codice di procedura penale, anche riferita a un suo subappaltatore nei casi di cui all'articolo 105, comma 6 del D.lgs 50/2016, per i reati di cui all’art 80 comma 1 lettera dalla a) alla g) del D.lgs 50/2016.</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2" w:right="39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119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che nei propri confronti non sussiste causa di esclusione di cui all’art. 80 c. 2 del D.Lgs. 50/2016; per decadenza, sospensione o di divieto previste dall'articolo 67 del decreto legislativo 6 settembre 2011, n. 159 o di un tentativo di infiltrazione mafiosa di cui all'articolo 84, comma 4, del medesimo decreto.</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39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3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ricorda che quanto previsto alle lettere a), b) opera anche nei confronti dei soggetti cessati o sostituiti dalla carica nell’anno antecedente la pubblicazione del presente avviso. (Tali soggetti sono gli stessi precedentemente indicati tenuti a fare la presente dichiarazione) L’esclusione e il divieto in ogni caso non operano quando il reato è stato depenalizzato ovvero quando è intervenuta la riabilitazione ovvero quando il reato è stato dichiarato estinto dopo la condanna ovvero in caso di revoca della condanna medesima. Il dichiarante acconsente ai sensi del D.Lgs. 30.06.2003 n. 196 al trattamento dei propri dati, anche personali, e di quelli relativi alla società, per le esclusive esigenze concorsuali e per la stipula di eventuale contratto.</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SOTTOSCRITTO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DICHIARA INOLTRE</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non è pendente alcun procedimento per l'applicazione di una delle misure di prevenzione o di una delle cause ostative di cui rispettivamente all'art. 6 e all’art. 67 del d.lgs. 6 settembre 2011, n. 159 e che nei propri confronti non sussiste alcuna causa di divieto, decadenza o sospensione, di cui all’art. 67 del d.lgs. 6 settembre 2011, n. 159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2, del D. Lgs. n. 50/2016);</w:t>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commesso violazioni gravi, definitivamente accertate, rispetto agli obblighi relativi al pagamento delle imposte e tasse o dei contributi previdenziali, secondo la legislazione italiana o quella dello Stato in cui è stabilito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4 del D. Lgs. n. 50/2016);</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commesso gravi infrazioni debitamente accertate alle norme in materia di salute e sicurezza sul lavoro, nonché agli obblighi di cui all'art. 30, comma 3, del Codice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lettera a), del D. Lgs. n. 50/2016);</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stato di fallimento, di liquidazione coatta, di concordato preventivo, salvo il caso di esercizio provvisorio del curatore fallimentare ovvero di concordato con continuità aziendale, o nei cui riguardi sia in corso un procedimento per la dichiarazione di una di tali situazioni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lettera b), del D.Lgs. n. 50/2016).</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2" w:right="39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 caso di esercizio provvisorio del curatore fallimentare ovvero di concordato preventivo con continuità aziendale vale quanto previsto dall'art. 110, commi 3, 4, 5 e 6 del D. Lgs. n. 50/2016);</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essersi reso colpevole di gravi illeciti professionali, nei confronti di questa stazione appaltante, tali da rendere dubbia la sua integrità o affidabilità (la valutazione della gravità dell'illecito viene valutata dalla stazione appaltante stessa, con particolare riferimento a quanto previsto all'art.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80, comma 5, lett. c) del D. Lgs. n. 50/2016);</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una situazione di conflitto di interesse ai sensi dell'art. 42, comma 2 del Codice, non diversamente risolvibile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 d) del D. Lgs. n. 50/2016);</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preso parte alla preparazione della procedura d'appalto, tale da distorcere la concorrenza, ai sensi dell'art. 67 del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Codice (art. 80, comma 5, lett. e) del D.Lgs. n. 50/2016);</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nei propri confronti non è stata applicata la sanzione interdittiva di cui all’art. 9, comma 2, lett. c), del d.lgs. 8 giugno 2001, n. 231, o ad altra sanzione che comporta il divieto di contrarre con la pubblica amministrazione, compresi i provvedimenti interdittivi di cui all’art. 14 del d.lgs. 9 aprile 2008, n. 81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 f) del D.Lgs. n. 50/2016);</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nel casellario informatico tenuto dall'Osservatorio dell'ANAC non risulta nessuna iscrizione per aver presentato false dichiarazioni o falsa documentazione ai fini del rilascio dell'attestazione di qualificazione, per il periodo durante il quale perdura l'iscrizione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lettera g) del D. Lgs. n. 50/2016);</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violato il divieto di intestazione fiduciaria posto all’art. 17 della l. 19 marzo 1990, n. 55 e ss. mm.ii. o, altrimenti, che è trascorso almeno un anno dall’ultima violazione accertata definitivamente e che questa è stata rimossa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80, comma 5, lett. h), del D. Lgs. n. 50/2016);</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2" w:right="391" w:hanging="36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BARRARE LA VOCE CHE INTERESSA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54" w:right="0" w:hanging="35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Attesta la propria condizione di non assoggettabilità agli obblighi di assunzioni obbligatorie di cui alla legge 12/03/1999, n. 68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(vale per le imprese che occupano non più di 15 dipendenti e da 15 fino a 35 dipendenti che non abbiano effettuato nuove assunzioni dopo il 18 gennaio 2000; tenuto conto, per le imprese edili, di quanto previsto dall’art. 1 comma 53 della legge n. 247/2007 sulla non computabilità del personale di cantiere e addetto al trasporto</w:t>
      </w: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ind w:left="602" w:right="47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ind w:left="602" w:right="47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ind w:left="602" w:right="47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ind w:left="602" w:right="47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ind w:left="602" w:right="478"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Ovvero</w:t>
      </w:r>
    </w:p>
    <w:p w:rsidR="00000000" w:rsidDel="00000000" w:rsidP="00000000" w:rsidRDefault="00000000" w:rsidRPr="00000000" w14:paraId="000000B9">
      <w:pPr>
        <w:ind w:left="602" w:right="47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54" w:right="0" w:hanging="35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Attesta di essere in regola con le norme che disciplinano il diritto al lavoro dei disabili di cui alla Legge 12/03/1999, n. 68 (art. 80, comma 5, lett. i), del D.Lgs. n. 50/2016);</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 le imprese che occupano più di 35 dipendenti e per le imprese che occupano da 15 a 35 dipendenti che abbiano effettuato una nuova assunzione dopo il 18 gennaio 2000; tenuto conto, per le imprese edili, di quanto previsto dall’art. 1 comma 53 della legge n.247/2007 sulla non computabilità del personale di cantiere e addetto al trasporto)</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Lucida Sans" w:cs="Lucida Sans" w:eastAsia="Lucida Sans" w:hAnsi="Lucida Sans"/>
          <w:b w:val="0"/>
          <w:i w:val="1"/>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nelle condizioni di cui all'art</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80, comma 5, lett. l) del D.Lgs. n. 50/2016;</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ucida Sans" w:cs="Lucida Sans" w:eastAsia="Lucida Sans" w:hAnsi="Lucida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832" w:right="39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rispetto ad un altro partecipante alla medesima procedura di affidamento, in una situazione di controllo di cui all'art. 2359 del Codice Civile o in una qualsiasi relazione, anche di fatto, tali da comportare che le offerte sono imputabili ad un unico centro decisionale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(art. 80, comma 5, lett. m), del D. Lgs. n. 50/2016);</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ucida Sans" w:cs="Lucida Sans" w:eastAsia="Lucida Sans" w:hAnsi="Lucida San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AUTORIZZARE</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61"/>
          <w:tab w:val="left" w:leader="none" w:pos="5903"/>
        </w:tabs>
        <w:spacing w:after="0" w:before="200" w:line="240" w:lineRule="auto"/>
        <w:ind w:left="23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_____________</w:t>
        <w:tab/>
        <w:tab/>
        <w:t xml:space="preserve">FIRMA</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5" w:type="default"/>
      <w:footerReference r:id="rId16" w:type="default"/>
      <w:type w:val="nextPage"/>
      <w:pgSz w:h="16840" w:w="11910" w:orient="portrait"/>
      <w:pgMar w:bottom="1134" w:top="1417" w:left="1134" w:right="1134"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Georgia"/>
  <w:font w:name="Times New Roman"/>
  <w:font w:name="Calibri"/>
  <w:font w:name="Courier New"/>
  <w:font w:name="Lucida San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Lucida Sans" w:cs="Lucida Sans" w:eastAsia="Lucida Sans" w:hAnsi="Lucida Sans"/>
        <w:b w:val="0"/>
        <w:i w:val="0"/>
        <w:smallCaps w:val="0"/>
        <w:strike w:val="0"/>
        <w:color w:val="000000"/>
        <w:sz w:val="2"/>
        <w:szCs w:val="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Lucida Sans" w:cs="Lucida Sans" w:eastAsia="Lucida Sans" w:hAnsi="Lucida Sans"/>
        <w:b w:val="0"/>
        <w:i w:val="0"/>
        <w:smallCaps w:val="0"/>
        <w:strike w:val="0"/>
        <w:color w:val="000000"/>
        <w:sz w:val="2"/>
        <w:szCs w:val="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Lucida Sans" w:cs="Lucida Sans" w:eastAsia="Lucida Sans" w:hAnsi="Lucida Sans"/>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832" w:hanging="360"/>
      </w:pPr>
      <w:rPr>
        <w:rFonts w:ascii="Quattrocento Sans" w:cs="Quattrocento Sans" w:eastAsia="Quattrocento Sans" w:hAnsi="Quattrocento Sans"/>
        <w:sz w:val="24"/>
        <w:szCs w:val="24"/>
      </w:rPr>
    </w:lvl>
    <w:lvl w:ilvl="1">
      <w:start w:val="1"/>
      <w:numFmt w:val="bullet"/>
      <w:lvlText w:val="o"/>
      <w:lvlJc w:val="left"/>
      <w:pPr>
        <w:ind w:left="1552" w:hanging="360"/>
      </w:pPr>
      <w:rPr>
        <w:rFonts w:ascii="Courier New" w:cs="Courier New" w:eastAsia="Courier New" w:hAnsi="Courier New"/>
      </w:rPr>
    </w:lvl>
    <w:lvl w:ilvl="2">
      <w:start w:val="1"/>
      <w:numFmt w:val="bullet"/>
      <w:lvlText w:val="▪"/>
      <w:lvlJc w:val="left"/>
      <w:pPr>
        <w:ind w:left="2272" w:hanging="360"/>
      </w:pPr>
      <w:rPr>
        <w:rFonts w:ascii="Noto Sans Symbols" w:cs="Noto Sans Symbols" w:eastAsia="Noto Sans Symbols" w:hAnsi="Noto Sans Symbols"/>
      </w:rPr>
    </w:lvl>
    <w:lvl w:ilvl="3">
      <w:start w:val="1"/>
      <w:numFmt w:val="bullet"/>
      <w:lvlText w:val="●"/>
      <w:lvlJc w:val="left"/>
      <w:pPr>
        <w:ind w:left="2992" w:hanging="360"/>
      </w:pPr>
      <w:rPr>
        <w:rFonts w:ascii="Noto Sans Symbols" w:cs="Noto Sans Symbols" w:eastAsia="Noto Sans Symbols" w:hAnsi="Noto Sans Symbols"/>
      </w:rPr>
    </w:lvl>
    <w:lvl w:ilvl="4">
      <w:start w:val="1"/>
      <w:numFmt w:val="bullet"/>
      <w:lvlText w:val="o"/>
      <w:lvlJc w:val="left"/>
      <w:pPr>
        <w:ind w:left="3712" w:hanging="360"/>
      </w:pPr>
      <w:rPr>
        <w:rFonts w:ascii="Courier New" w:cs="Courier New" w:eastAsia="Courier New" w:hAnsi="Courier New"/>
      </w:rPr>
    </w:lvl>
    <w:lvl w:ilvl="5">
      <w:start w:val="1"/>
      <w:numFmt w:val="bullet"/>
      <w:lvlText w:val="▪"/>
      <w:lvlJc w:val="left"/>
      <w:pPr>
        <w:ind w:left="4432" w:hanging="360"/>
      </w:pPr>
      <w:rPr>
        <w:rFonts w:ascii="Noto Sans Symbols" w:cs="Noto Sans Symbols" w:eastAsia="Noto Sans Symbols" w:hAnsi="Noto Sans Symbols"/>
      </w:rPr>
    </w:lvl>
    <w:lvl w:ilvl="6">
      <w:start w:val="1"/>
      <w:numFmt w:val="bullet"/>
      <w:lvlText w:val="●"/>
      <w:lvlJc w:val="left"/>
      <w:pPr>
        <w:ind w:left="5152" w:hanging="360"/>
      </w:pPr>
      <w:rPr>
        <w:rFonts w:ascii="Noto Sans Symbols" w:cs="Noto Sans Symbols" w:eastAsia="Noto Sans Symbols" w:hAnsi="Noto Sans Symbols"/>
      </w:rPr>
    </w:lvl>
    <w:lvl w:ilvl="7">
      <w:start w:val="1"/>
      <w:numFmt w:val="bullet"/>
      <w:lvlText w:val="o"/>
      <w:lvlJc w:val="left"/>
      <w:pPr>
        <w:ind w:left="5872" w:hanging="360"/>
      </w:pPr>
      <w:rPr>
        <w:rFonts w:ascii="Courier New" w:cs="Courier New" w:eastAsia="Courier New" w:hAnsi="Courier New"/>
      </w:rPr>
    </w:lvl>
    <w:lvl w:ilvl="8">
      <w:start w:val="1"/>
      <w:numFmt w:val="bullet"/>
      <w:lvlText w:val="▪"/>
      <w:lvlJc w:val="left"/>
      <w:pPr>
        <w:ind w:left="6592" w:hanging="360"/>
      </w:pPr>
      <w:rPr>
        <w:rFonts w:ascii="Noto Sans Symbols" w:cs="Noto Sans Symbols" w:eastAsia="Noto Sans Symbols" w:hAnsi="Noto Sans Symbols"/>
      </w:rPr>
    </w:lvl>
  </w:abstractNum>
  <w:abstractNum w:abstractNumId="2">
    <w:lvl w:ilvl="0">
      <w:start w:val="1"/>
      <w:numFmt w:val="lowerLetter"/>
      <w:lvlText w:val="%1)"/>
      <w:lvlJc w:val="left"/>
      <w:pPr>
        <w:ind w:left="1192" w:hanging="360"/>
      </w:pPr>
      <w:rPr/>
    </w:lvl>
    <w:lvl w:ilvl="1">
      <w:start w:val="1"/>
      <w:numFmt w:val="lowerLetter"/>
      <w:lvlText w:val="%2."/>
      <w:lvlJc w:val="left"/>
      <w:pPr>
        <w:ind w:left="1912" w:hanging="360"/>
      </w:pPr>
      <w:rPr/>
    </w:lvl>
    <w:lvl w:ilvl="2">
      <w:start w:val="1"/>
      <w:numFmt w:val="lowerRoman"/>
      <w:lvlText w:val="%3."/>
      <w:lvlJc w:val="right"/>
      <w:pPr>
        <w:ind w:left="2632" w:hanging="180"/>
      </w:pPr>
      <w:rPr/>
    </w:lvl>
    <w:lvl w:ilvl="3">
      <w:start w:val="1"/>
      <w:numFmt w:val="decimal"/>
      <w:lvlText w:val="%4."/>
      <w:lvlJc w:val="left"/>
      <w:pPr>
        <w:ind w:left="3352" w:hanging="360"/>
      </w:pPr>
      <w:rPr/>
    </w:lvl>
    <w:lvl w:ilvl="4">
      <w:start w:val="1"/>
      <w:numFmt w:val="lowerLetter"/>
      <w:lvlText w:val="%5."/>
      <w:lvlJc w:val="left"/>
      <w:pPr>
        <w:ind w:left="4072" w:hanging="360"/>
      </w:pPr>
      <w:rPr/>
    </w:lvl>
    <w:lvl w:ilvl="5">
      <w:start w:val="1"/>
      <w:numFmt w:val="lowerRoman"/>
      <w:lvlText w:val="%6."/>
      <w:lvlJc w:val="right"/>
      <w:pPr>
        <w:ind w:left="4792" w:hanging="180"/>
      </w:pPr>
      <w:rPr/>
    </w:lvl>
    <w:lvl w:ilvl="6">
      <w:start w:val="1"/>
      <w:numFmt w:val="decimal"/>
      <w:lvlText w:val="%7."/>
      <w:lvlJc w:val="left"/>
      <w:pPr>
        <w:ind w:left="5512" w:hanging="360"/>
      </w:pPr>
      <w:rPr/>
    </w:lvl>
    <w:lvl w:ilvl="7">
      <w:start w:val="1"/>
      <w:numFmt w:val="lowerLetter"/>
      <w:lvlText w:val="%8."/>
      <w:lvlJc w:val="left"/>
      <w:pPr>
        <w:ind w:left="6232" w:hanging="360"/>
      </w:pPr>
      <w:rPr/>
    </w:lvl>
    <w:lvl w:ilvl="8">
      <w:start w:val="1"/>
      <w:numFmt w:val="lowerRoman"/>
      <w:lvlText w:val="%9."/>
      <w:lvlJc w:val="right"/>
      <w:pPr>
        <w:ind w:left="6952" w:hanging="180"/>
      </w:pPr>
      <w:rPr/>
    </w:lvl>
  </w:abstractNum>
  <w:abstractNum w:abstractNumId="3">
    <w:lvl w:ilvl="0">
      <w:start w:val="0"/>
      <w:numFmt w:val="bullet"/>
      <w:lvlText w:val="☐"/>
      <w:lvlJc w:val="left"/>
      <w:pPr>
        <w:ind w:left="720" w:hanging="360"/>
      </w:pPr>
      <w:rPr>
        <w:rFonts w:ascii="Quattrocento Sans" w:cs="Quattrocento Sans" w:eastAsia="Quattrocento Sans" w:hAnsi="Quattrocento San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832" w:hanging="360"/>
      </w:pPr>
      <w:rPr/>
    </w:lvl>
    <w:lvl w:ilvl="1">
      <w:start w:val="1"/>
      <w:numFmt w:val="lowerLetter"/>
      <w:lvlText w:val="%2."/>
      <w:lvlJc w:val="left"/>
      <w:pPr>
        <w:ind w:left="1552" w:hanging="360"/>
      </w:pPr>
      <w:rPr/>
    </w:lvl>
    <w:lvl w:ilvl="2">
      <w:start w:val="1"/>
      <w:numFmt w:val="lowerRoman"/>
      <w:lvlText w:val="%3."/>
      <w:lvlJc w:val="right"/>
      <w:pPr>
        <w:ind w:left="2272" w:hanging="180"/>
      </w:pPr>
      <w:rPr/>
    </w:lvl>
    <w:lvl w:ilvl="3">
      <w:start w:val="1"/>
      <w:numFmt w:val="decimal"/>
      <w:lvlText w:val="%4."/>
      <w:lvlJc w:val="left"/>
      <w:pPr>
        <w:ind w:left="2992" w:hanging="360"/>
      </w:pPr>
      <w:rPr/>
    </w:lvl>
    <w:lvl w:ilvl="4">
      <w:start w:val="1"/>
      <w:numFmt w:val="lowerLetter"/>
      <w:lvlText w:val="%5."/>
      <w:lvlJc w:val="left"/>
      <w:pPr>
        <w:ind w:left="3712" w:hanging="360"/>
      </w:pPr>
      <w:rPr/>
    </w:lvl>
    <w:lvl w:ilvl="5">
      <w:start w:val="1"/>
      <w:numFmt w:val="lowerRoman"/>
      <w:lvlText w:val="%6."/>
      <w:lvlJc w:val="right"/>
      <w:pPr>
        <w:ind w:left="4432" w:hanging="180"/>
      </w:pPr>
      <w:rPr/>
    </w:lvl>
    <w:lvl w:ilvl="6">
      <w:start w:val="1"/>
      <w:numFmt w:val="decimal"/>
      <w:lvlText w:val="%7."/>
      <w:lvlJc w:val="left"/>
      <w:pPr>
        <w:ind w:left="5152" w:hanging="360"/>
      </w:pPr>
      <w:rPr/>
    </w:lvl>
    <w:lvl w:ilvl="7">
      <w:start w:val="1"/>
      <w:numFmt w:val="lowerLetter"/>
      <w:lvlText w:val="%8."/>
      <w:lvlJc w:val="left"/>
      <w:pPr>
        <w:ind w:left="5872" w:hanging="360"/>
      </w:pPr>
      <w:rPr/>
    </w:lvl>
    <w:lvl w:ilvl="8">
      <w:start w:val="1"/>
      <w:numFmt w:val="lowerRoman"/>
      <w:lvlText w:val="%9."/>
      <w:lvlJc w:val="right"/>
      <w:pPr>
        <w:ind w:left="6592" w:hanging="180"/>
      </w:pPr>
      <w:rPr/>
    </w:lvl>
  </w:abstractNum>
  <w:abstractNum w:abstractNumId="5">
    <w:lvl w:ilvl="0">
      <w:start w:val="0"/>
      <w:numFmt w:val="bullet"/>
      <w:lvlText w:val="☐"/>
      <w:lvlJc w:val="left"/>
      <w:pPr>
        <w:ind w:left="112" w:hanging="392.00000000000006"/>
      </w:pPr>
      <w:rPr>
        <w:rFonts w:ascii="Quattrocento Sans" w:cs="Quattrocento Sans" w:eastAsia="Quattrocento Sans" w:hAnsi="Quattrocento Sans"/>
        <w:sz w:val="24"/>
        <w:szCs w:val="24"/>
      </w:rPr>
    </w:lvl>
    <w:lvl w:ilvl="1">
      <w:start w:val="0"/>
      <w:numFmt w:val="bullet"/>
      <w:lvlText w:val="•"/>
      <w:lvlJc w:val="left"/>
      <w:pPr>
        <w:ind w:left="1122" w:hanging="392"/>
      </w:pPr>
      <w:rPr/>
    </w:lvl>
    <w:lvl w:ilvl="2">
      <w:start w:val="0"/>
      <w:numFmt w:val="bullet"/>
      <w:lvlText w:val="•"/>
      <w:lvlJc w:val="left"/>
      <w:pPr>
        <w:ind w:left="2125" w:hanging="392"/>
      </w:pPr>
      <w:rPr/>
    </w:lvl>
    <w:lvl w:ilvl="3">
      <w:start w:val="0"/>
      <w:numFmt w:val="bullet"/>
      <w:lvlText w:val="•"/>
      <w:lvlJc w:val="left"/>
      <w:pPr>
        <w:ind w:left="3127" w:hanging="392"/>
      </w:pPr>
      <w:rPr/>
    </w:lvl>
    <w:lvl w:ilvl="4">
      <w:start w:val="0"/>
      <w:numFmt w:val="bullet"/>
      <w:lvlText w:val="•"/>
      <w:lvlJc w:val="left"/>
      <w:pPr>
        <w:ind w:left="4130" w:hanging="392"/>
      </w:pPr>
      <w:rPr/>
    </w:lvl>
    <w:lvl w:ilvl="5">
      <w:start w:val="0"/>
      <w:numFmt w:val="bullet"/>
      <w:lvlText w:val="•"/>
      <w:lvlJc w:val="left"/>
      <w:pPr>
        <w:ind w:left="5133" w:hanging="392"/>
      </w:pPr>
      <w:rPr/>
    </w:lvl>
    <w:lvl w:ilvl="6">
      <w:start w:val="0"/>
      <w:numFmt w:val="bullet"/>
      <w:lvlText w:val="•"/>
      <w:lvlJc w:val="left"/>
      <w:pPr>
        <w:ind w:left="6135" w:hanging="392"/>
      </w:pPr>
      <w:rPr/>
    </w:lvl>
    <w:lvl w:ilvl="7">
      <w:start w:val="0"/>
      <w:numFmt w:val="bullet"/>
      <w:lvlText w:val="•"/>
      <w:lvlJc w:val="left"/>
      <w:pPr>
        <w:ind w:left="7138" w:hanging="392.0000000000009"/>
      </w:pPr>
      <w:rPr/>
    </w:lvl>
    <w:lvl w:ilvl="8">
      <w:start w:val="0"/>
      <w:numFmt w:val="bullet"/>
      <w:lvlText w:val="•"/>
      <w:lvlJc w:val="left"/>
      <w:pPr>
        <w:ind w:left="8141" w:hanging="392"/>
      </w:pPr>
      <w:rPr/>
    </w:lvl>
  </w:abstractNum>
  <w:abstractNum w:abstractNumId="6">
    <w:lvl w:ilvl="0">
      <w:start w:val="0"/>
      <w:numFmt w:val="bullet"/>
      <w:lvlText w:val="-"/>
      <w:lvlJc w:val="left"/>
      <w:pPr>
        <w:ind w:left="832" w:hanging="437"/>
      </w:pPr>
      <w:rPr>
        <w:rFonts w:ascii="Quattrocento Sans" w:cs="Quattrocento Sans" w:eastAsia="Quattrocento Sans" w:hAnsi="Quattrocento Sans"/>
        <w:sz w:val="30"/>
        <w:szCs w:val="30"/>
      </w:rPr>
    </w:lvl>
    <w:lvl w:ilvl="1">
      <w:start w:val="0"/>
      <w:numFmt w:val="bullet"/>
      <w:lvlText w:val="•"/>
      <w:lvlJc w:val="left"/>
      <w:pPr>
        <w:ind w:left="1770" w:hanging="437"/>
      </w:pPr>
      <w:rPr/>
    </w:lvl>
    <w:lvl w:ilvl="2">
      <w:start w:val="0"/>
      <w:numFmt w:val="bullet"/>
      <w:lvlText w:val="•"/>
      <w:lvlJc w:val="left"/>
      <w:pPr>
        <w:ind w:left="2701" w:hanging="436.99999999999955"/>
      </w:pPr>
      <w:rPr/>
    </w:lvl>
    <w:lvl w:ilvl="3">
      <w:start w:val="0"/>
      <w:numFmt w:val="bullet"/>
      <w:lvlText w:val="•"/>
      <w:lvlJc w:val="left"/>
      <w:pPr>
        <w:ind w:left="3631" w:hanging="436.99999999999955"/>
      </w:pPr>
      <w:rPr/>
    </w:lvl>
    <w:lvl w:ilvl="4">
      <w:start w:val="0"/>
      <w:numFmt w:val="bullet"/>
      <w:lvlText w:val="•"/>
      <w:lvlJc w:val="left"/>
      <w:pPr>
        <w:ind w:left="4562" w:hanging="437"/>
      </w:pPr>
      <w:rPr/>
    </w:lvl>
    <w:lvl w:ilvl="5">
      <w:start w:val="0"/>
      <w:numFmt w:val="bullet"/>
      <w:lvlText w:val="•"/>
      <w:lvlJc w:val="left"/>
      <w:pPr>
        <w:ind w:left="5493" w:hanging="437"/>
      </w:pPr>
      <w:rPr/>
    </w:lvl>
    <w:lvl w:ilvl="6">
      <w:start w:val="0"/>
      <w:numFmt w:val="bullet"/>
      <w:lvlText w:val="•"/>
      <w:lvlJc w:val="left"/>
      <w:pPr>
        <w:ind w:left="6423" w:hanging="437.0000000000009"/>
      </w:pPr>
      <w:rPr/>
    </w:lvl>
    <w:lvl w:ilvl="7">
      <w:start w:val="0"/>
      <w:numFmt w:val="bullet"/>
      <w:lvlText w:val="•"/>
      <w:lvlJc w:val="left"/>
      <w:pPr>
        <w:ind w:left="7354" w:hanging="437.0000000000009"/>
      </w:pPr>
      <w:rPr/>
    </w:lvl>
    <w:lvl w:ilvl="8">
      <w:start w:val="0"/>
      <w:numFmt w:val="bullet"/>
      <w:lvlText w:val="•"/>
      <w:lvlJc w:val="left"/>
      <w:pPr>
        <w:ind w:left="8285" w:hanging="437"/>
      </w:pPr>
      <w:rPr/>
    </w:lvl>
  </w:abstractNum>
  <w:abstractNum w:abstractNumId="7">
    <w:lvl w:ilvl="0">
      <w:start w:val="0"/>
      <w:numFmt w:val="bullet"/>
      <w:lvlText w:val="●"/>
      <w:lvlJc w:val="left"/>
      <w:pPr>
        <w:ind w:left="832" w:hanging="360"/>
      </w:pPr>
      <w:rPr>
        <w:rFonts w:ascii="Noto Sans Symbols" w:cs="Noto Sans Symbols" w:eastAsia="Noto Sans Symbols" w:hAnsi="Noto Sans Symbols"/>
        <w:sz w:val="20"/>
        <w:szCs w:val="20"/>
      </w:rPr>
    </w:lvl>
    <w:lvl w:ilvl="1">
      <w:start w:val="0"/>
      <w:numFmt w:val="bullet"/>
      <w:lvlText w:val="•"/>
      <w:lvlJc w:val="left"/>
      <w:pPr>
        <w:ind w:left="1770" w:hanging="360"/>
      </w:pPr>
      <w:rPr/>
    </w:lvl>
    <w:lvl w:ilvl="2">
      <w:start w:val="0"/>
      <w:numFmt w:val="bullet"/>
      <w:lvlText w:val="•"/>
      <w:lvlJc w:val="left"/>
      <w:pPr>
        <w:ind w:left="2701" w:hanging="360"/>
      </w:pPr>
      <w:rPr/>
    </w:lvl>
    <w:lvl w:ilvl="3">
      <w:start w:val="0"/>
      <w:numFmt w:val="bullet"/>
      <w:lvlText w:val="•"/>
      <w:lvlJc w:val="left"/>
      <w:pPr>
        <w:ind w:left="3631" w:hanging="360"/>
      </w:pPr>
      <w:rPr/>
    </w:lvl>
    <w:lvl w:ilvl="4">
      <w:start w:val="0"/>
      <w:numFmt w:val="bullet"/>
      <w:lvlText w:val="•"/>
      <w:lvlJc w:val="left"/>
      <w:pPr>
        <w:ind w:left="4562" w:hanging="360"/>
      </w:pPr>
      <w:rPr/>
    </w:lvl>
    <w:lvl w:ilvl="5">
      <w:start w:val="0"/>
      <w:numFmt w:val="bullet"/>
      <w:lvlText w:val="•"/>
      <w:lvlJc w:val="left"/>
      <w:pPr>
        <w:ind w:left="5493" w:hanging="360"/>
      </w:pPr>
      <w:rPr/>
    </w:lvl>
    <w:lvl w:ilvl="6">
      <w:start w:val="0"/>
      <w:numFmt w:val="bullet"/>
      <w:lvlText w:val="•"/>
      <w:lvlJc w:val="left"/>
      <w:pPr>
        <w:ind w:left="6423" w:hanging="360"/>
      </w:pPr>
      <w:rPr/>
    </w:lvl>
    <w:lvl w:ilvl="7">
      <w:start w:val="0"/>
      <w:numFmt w:val="bullet"/>
      <w:lvlText w:val="•"/>
      <w:lvlJc w:val="left"/>
      <w:pPr>
        <w:ind w:left="7354" w:hanging="360"/>
      </w:pPr>
      <w:rPr/>
    </w:lvl>
    <w:lvl w:ilvl="8">
      <w:start w:val="0"/>
      <w:numFmt w:val="bullet"/>
      <w:lvlText w:val="•"/>
      <w:lvlJc w:val="left"/>
      <w:pPr>
        <w:ind w:left="8285"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ucida Sans" w:cs="Lucida Sans" w:eastAsia="Lucida Sans" w:hAnsi="Lucida Sans"/>
        <w:sz w:val="22"/>
        <w:szCs w:val="22"/>
        <w:lang w:val="it-I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459"/>
    </w:pPr>
    <w:rPr>
      <w:rFonts w:ascii="Trebuchet MS" w:cs="Trebuchet MS" w:eastAsia="Trebuchet MS" w:hAnsi="Trebuchet MS"/>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Pr>
      <w:rFonts w:ascii="Lucida Sans Unicode" w:cs="Lucida Sans Unicode" w:eastAsia="Lucida Sans Unicode" w:hAnsi="Lucida Sans Unicode"/>
      <w:lang w:val="it-IT"/>
    </w:rPr>
  </w:style>
  <w:style w:type="paragraph" w:styleId="Titolo1">
    <w:name w:val="heading 1"/>
    <w:basedOn w:val="Normale"/>
    <w:uiPriority w:val="9"/>
    <w:qFormat w:val="1"/>
    <w:pPr>
      <w:ind w:left="459"/>
      <w:outlineLvl w:val="0"/>
    </w:pPr>
    <w:rPr>
      <w:rFonts w:ascii="Trebuchet MS" w:cs="Trebuchet MS" w:eastAsia="Trebuchet MS" w:hAnsi="Trebuchet MS"/>
      <w:b w:val="1"/>
      <w:bCs w:val="1"/>
      <w:sz w:val="24"/>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Corpotesto">
    <w:name w:val="Body Text"/>
    <w:basedOn w:val="Normale"/>
    <w:uiPriority w:val="1"/>
    <w:qFormat w:val="1"/>
    <w:rPr>
      <w:sz w:val="24"/>
      <w:szCs w:val="24"/>
    </w:rPr>
  </w:style>
  <w:style w:type="paragraph" w:styleId="Paragrafoelenco">
    <w:name w:val="List Paragraph"/>
    <w:basedOn w:val="Normale"/>
    <w:uiPriority w:val="1"/>
    <w:qFormat w:val="1"/>
    <w:pPr>
      <w:ind w:left="832" w:right="391" w:hanging="360"/>
      <w:jc w:val="both"/>
    </w:pPr>
  </w:style>
  <w:style w:type="paragraph" w:styleId="TableParagraph" w:customStyle="1">
    <w:name w:val="Table Paragraph"/>
    <w:basedOn w:val="Normale"/>
    <w:uiPriority w:val="1"/>
    <w:qFormat w:val="1"/>
    <w:pPr>
      <w:spacing w:line="341" w:lineRule="exact"/>
      <w:ind w:left="324" w:right="309"/>
      <w:jc w:val="center"/>
    </w:pPr>
  </w:style>
  <w:style w:type="paragraph" w:styleId="Intestazione">
    <w:name w:val="header"/>
    <w:basedOn w:val="Normale"/>
    <w:link w:val="IntestazioneCarattere"/>
    <w:uiPriority w:val="99"/>
    <w:unhideWhenUsed w:val="1"/>
    <w:rsid w:val="004A1A4C"/>
    <w:pPr>
      <w:tabs>
        <w:tab w:val="center" w:pos="4819"/>
        <w:tab w:val="right" w:pos="9638"/>
      </w:tabs>
    </w:pPr>
  </w:style>
  <w:style w:type="character" w:styleId="IntestazioneCarattere" w:customStyle="1">
    <w:name w:val="Intestazione Carattere"/>
    <w:basedOn w:val="Carpredefinitoparagrafo"/>
    <w:link w:val="Intestazione"/>
    <w:uiPriority w:val="99"/>
    <w:rsid w:val="004A1A4C"/>
    <w:rPr>
      <w:rFonts w:ascii="Lucida Sans Unicode" w:cs="Lucida Sans Unicode" w:eastAsia="Lucida Sans Unicode" w:hAnsi="Lucida Sans Unicode"/>
      <w:lang w:val="it-IT"/>
    </w:rPr>
  </w:style>
  <w:style w:type="paragraph" w:styleId="Pidipagina">
    <w:name w:val="footer"/>
    <w:basedOn w:val="Normale"/>
    <w:link w:val="PidipaginaCarattere"/>
    <w:uiPriority w:val="99"/>
    <w:unhideWhenUsed w:val="1"/>
    <w:rsid w:val="004A1A4C"/>
    <w:pPr>
      <w:tabs>
        <w:tab w:val="center" w:pos="4819"/>
        <w:tab w:val="right" w:pos="9638"/>
      </w:tabs>
    </w:pPr>
  </w:style>
  <w:style w:type="character" w:styleId="PidipaginaCarattere" w:customStyle="1">
    <w:name w:val="Piè di pagina Carattere"/>
    <w:basedOn w:val="Carpredefinitoparagrafo"/>
    <w:link w:val="Pidipagina"/>
    <w:uiPriority w:val="99"/>
    <w:rsid w:val="004A1A4C"/>
    <w:rPr>
      <w:rFonts w:ascii="Lucida Sans Unicode" w:cs="Lucida Sans Unicode" w:eastAsia="Lucida Sans Unicode" w:hAnsi="Lucida Sans Unicode"/>
      <w:lang w:val="it-IT"/>
    </w:rPr>
  </w:style>
  <w:style w:type="character" w:styleId="Collegamentoipertestuale">
    <w:name w:val="Hyperlink"/>
    <w:basedOn w:val="Carpredefinitoparagrafo"/>
    <w:uiPriority w:val="99"/>
    <w:unhideWhenUsed w:val="1"/>
    <w:rsid w:val="004A1A4C"/>
    <w:rPr>
      <w:color w:val="0000ff" w:themeColor="hyperlink"/>
      <w:u w:val="single"/>
    </w:rPr>
  </w:style>
  <w:style w:type="character" w:styleId="Menzionenonrisolta">
    <w:name w:val="Unresolved Mention"/>
    <w:basedOn w:val="Carpredefinitoparagrafo"/>
    <w:uiPriority w:val="99"/>
    <w:semiHidden w:val="1"/>
    <w:unhideWhenUsed w:val="1"/>
    <w:rsid w:val="004A1A4C"/>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bosettiegatti.eu/info/norme/statali/2011_0159.htm#084" TargetMode="External"/><Relationship Id="rId10" Type="http://schemas.openxmlformats.org/officeDocument/2006/relationships/hyperlink" Target="https://www.bosettiegatti.eu/info/norme/statali/2011_0159.htm#084" TargetMode="External"/><Relationship Id="rId13" Type="http://schemas.openxmlformats.org/officeDocument/2006/relationships/hyperlink" Target="https://www.bosettiegatti.eu/info/norme/statali/2011_0159.htm#034-bis" TargetMode="External"/><Relationship Id="rId12" Type="http://schemas.openxmlformats.org/officeDocument/2006/relationships/hyperlink" Target="https://www.bosettiegatti.eu/info/norme/statali/2011_0159.htm#034-bi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eader" Target="header1.xml"/><Relationship Id="rId14" Type="http://schemas.openxmlformats.org/officeDocument/2006/relationships/hyperlink" Target="https://www.bosettiegatti.eu/info/norme/statali/2023_0036_A_II.htm#II.10"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about:blank" TargetMode="External"/><Relationship Id="rId8" Type="http://schemas.openxmlformats.org/officeDocument/2006/relationships/hyperlink" Target="https://www.bosettiegatti.eu/info/norme/statali/2023_0036.htm#05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DpKm0+zH9dtRYg+y99auZNcPfA==">CgMxLjAyCWlkLmdqZGd4czIKaWQuMzBqMHpsbDIKaWQuMWZvYjl0ZTIKaWQuM3pueXNoNzIKaWQuMmV0OTJwMDIJaWQudHlqY3d0MgppZC4zZHk2dmttMgloLjF0M2g1c2Y4AHIhMWhjaVlIRzlHWkRhOWVrX0s0X09fdFpYQ0NDOXMwSDFx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2023-09-16T07:10:00Z</dcterms:created>
  <dc:creator>f</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2023-07-24T00:00:00Z</vt:filetime>
  </property>
  <property fmtid="{D5CDD505-2E9C-101B-9397-08002B2CF9AE}" pid="3" name="Creator">
    <vt:lpwstr>Acrobat PDFMaker 20 per Word</vt:lpwstr>
  </property>
  <property fmtid="{D5CDD505-2E9C-101B-9397-08002B2CF9AE}" pid="4" name="LastSaved">
    <vt:filetime>2023-09-15T00:00:00Z</vt:filetime>
  </property>
</Properties>
</file>